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jc w:val="center"/>
      </w:pPr>
      <w:r>
        <w:rPr>
          <w:b/>
          <w:bCs/>
          <w:sz w:val="36"/>
          <w:szCs w:val="36"/>
        </w:rPr>
        <w:t xml:space="preserve">ANALYSE TECHNIQUE ET ÉCONOMIQUE</w:t>
      </w:r>
    </w:p>
    <w:p>
      <w:pPr>
        <w:spacing w:before="240"/>
        <w:jc w:val="center"/>
      </w:pPr>
      <w:r>
        <w:rPr>
          <w:b/>
          <w:bCs/>
          <w:sz w:val="32"/>
          <w:szCs w:val="32"/>
        </w:rPr>
        <w:t xml:space="preserve">DATACENTERS EN ORBITE BASSE (LEO)</w:t>
      </w:r>
    </w:p>
    <w:p>
      <w:pPr>
        <w:spacing w:before="120"/>
        <w:jc w:val="center"/>
      </w:pPr>
      <w:r>
        <w:rPr>
          <w:i/>
          <w:iCs/>
          <w:sz w:val="28"/>
          <w:szCs w:val="28"/>
        </w:rPr>
        <w:t xml:space="preserve">vs Datacenters Terrestres</w:t>
      </w:r>
    </w:p>
    <w:p>
      <w:pPr>
        <w:spacing w:before="2000"/>
        <w:jc w:val="center"/>
      </w:pPr>
      <w:r>
        <w:rPr>
          <w:color w:val="1F4E78"/>
          <w:sz w:val="24"/>
          <w:szCs w:val="24"/>
        </w:rPr>
        <w:t xml:space="preserve">Méthodologie FOND-FORME-CUI BONO</w:t>
      </w:r>
    </w:p>
    <w:p>
      <w:pPr>
        <w:spacing w:before="3000"/>
        <w:jc w:val="center"/>
      </w:pPr>
      <w:r>
        <w:rPr>
          <w:sz w:val="22"/>
          <w:szCs w:val="22"/>
        </w:rPr>
        <w:t xml:space="preserve">ADS-B NETWORK SAS</w:t>
      </w:r>
    </w:p>
    <w:p>
      <w:pPr>
        <w:spacing w:before="120"/>
        <w:jc w:val="center"/>
      </w:pPr>
      <w:r>
        <w:rPr>
          <w:sz w:val="20"/>
          <w:szCs w:val="20"/>
        </w:rPr>
        <w:t xml:space="preserve">Laurent Duval, CEO</w:t>
      </w:r>
    </w:p>
    <w:p>
      <w:pPr>
        <w:spacing w:before="60"/>
        <w:jc w:val="center"/>
      </w:pPr>
      <w:r>
        <w:rPr>
          <w:i/>
          <w:iCs/>
          <w:sz w:val="20"/>
          <w:szCs w:val="20"/>
        </w:rPr>
        <w:t xml:space="preserve">Janvier 2026</w:t>
      </w:r>
    </w:p>
    <w:p>
      <w:r>
        <w:br w:type="page"/>
      </w:r>
    </w:p>
    <w:p>
      <w:pPr>
        <w:pStyle w:val="Heading1"/>
      </w:pPr>
      <w:r>
        <w:t xml:space="preserve">SYNTHÈSE EXÉCUTIVE</w:t>
      </w:r>
    </w:p>
    <w:p>
      <w:pPr>
        <w:spacing w:after="240"/>
      </w:pPr>
      <w:r>
        <w:rPr>
          <w:sz w:val="22"/>
          <w:szCs w:val="22"/>
        </w:rPr>
        <w:t xml:space="preserve">Cette analyse technique évalue la viabilité économique et physique des datacenters en orbite basse (LEO) pour l'entraînement et l'inférence d'intelligence artificielle, en réponse aux propositions de Google (Project Suncatcher), Starcloud, et autres acteurs tech.</w:t>
      </w:r>
    </w:p>
    <w:p>
      <w:pPr>
        <w:pStyle w:val="Heading2"/>
      </w:pPr>
      <w:r>
        <w:t xml:space="preserve">Verdict Global</w:t>
      </w:r>
    </w:p>
    <w:p>
      <w:pPr>
        <w:spacing w:after="180"/>
      </w:pPr>
      <w:r>
        <w:rPr>
          <w:b/>
          <w:bCs/>
          <w:color w:val="C00000"/>
          <w:sz w:val="22"/>
          <w:szCs w:val="22"/>
        </w:rPr>
        <w:t xml:space="preserve">Les datacenters orbitaux sont économiquement non viables avec les technologies actuelles et prévisibles jusqu'en 2040. Le ratio coût/performance est de 4:1 en défaveur de l'orbital par rapport au terrestre.</w:t>
      </w:r>
    </w:p>
    <w:p>
      <w:pPr>
        <w:pStyle w:val="Heading2"/>
      </w:pPr>
      <w:r>
        <w:t xml:space="preserve">Contraintes Physiques Absolues</w:t>
      </w:r>
    </w:p>
    <w:p>
      <w:pPr>
        <w:pStyle w:val="ListParagraph"/>
        <w:numPr>
          <w:ilvl w:val="0"/>
          <w:numId w:val="2"/>
        </w:numPr>
      </w:pPr>
      <w:r>
        <w:rPr>
          <w:sz w:val="22"/>
          <w:szCs w:val="22"/>
        </w:rPr>
        <w:t xml:space="preserve">Thermodynamique (Stefan-Boltzmann) : 43 tonnes de radiateurs obligatoires pour dissiper 1 MW en vide spatial</w:t>
      </w:r>
    </w:p>
    <w:p>
      <w:pPr>
        <w:pStyle w:val="ListParagraph"/>
        <w:numPr>
          <w:ilvl w:val="0"/>
          <w:numId w:val="2"/>
        </w:numPr>
      </w:pPr>
      <w:r>
        <w:rPr>
          <w:sz w:val="22"/>
          <w:szCs w:val="22"/>
        </w:rPr>
        <w:t xml:space="preserve">Rayonnement : GPU 4nm subissent 10-20 krad/an en LEO, réduisant durée de vie à 2-3 ans vs 5-10 ans au sol</w:t>
      </w:r>
    </w:p>
    <w:p>
      <w:pPr>
        <w:pStyle w:val="ListParagraph"/>
        <w:numPr>
          <w:ilvl w:val="0"/>
          <w:numId w:val="2"/>
        </w:numPr>
      </w:pPr>
      <w:r>
        <w:rPr>
          <w:sz w:val="22"/>
          <w:szCs w:val="22"/>
        </w:rPr>
        <w:t xml:space="preserve">Gravitation : Coût lancement $150-1,400/kg impose pénalité masse 5.6× (169 tonnes vs 30 tonnes)</w:t>
      </w:r>
    </w:p>
    <w:p>
      <w:pPr>
        <w:pStyle w:val="ListParagraph"/>
        <w:numPr>
          <w:ilvl w:val="0"/>
          <w:numId w:val="2"/>
        </w:numPr>
      </w:pPr>
      <w:r>
        <w:rPr>
          <w:sz w:val="22"/>
          <w:szCs w:val="22"/>
        </w:rPr>
        <w:t xml:space="preserve">Maintenance : Ratio coût intervention/valeur composant inversé (4,700% vs 1-5% terrestre)</w:t>
      </w:r>
    </w:p>
    <w:p>
      <w:pPr>
        <w:pStyle w:val="Heading2"/>
        <w:spacing w:before="240"/>
      </w:pPr>
      <w:r>
        <w:t xml:space="preserve">Comparaison Économique 10 ans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4E78" w:val="clear"/>
            <w:tcMar>
              <w:top w:type="dxa" w:w="100"/>
              <w:left w:type="dxa" w:w="120"/>
              <w:bottom w:type="dxa" w:w="100"/>
              <w:right w:type="dxa" w:w="120"/>
            </w:tcMar>
          </w:tcPr>
          <w:p>
            <w:pPr>
              <w:jc w:val="center"/>
            </w:pPr>
            <w:r>
              <w:rPr>
                <w:b/>
                <w:bCs/>
                <w:color w:val="FFFFFF"/>
                <w:sz w:val="22"/>
                <w:szCs w:val="22"/>
              </w:rPr>
              <w:t xml:space="preserve">Métrique</w:t>
            </w:r>
          </w:p>
        </w:tc>
        <w:tc>
          <w:tcPr>
            <w:tcW w:type="dxa" w:w="3120"/>
            <w:tcBorders>
              <w:top w:val="single" w:color="CCCCCC" w:sz="1"/>
              <w:left w:val="single" w:color="CCCCCC" w:sz="1"/>
              <w:bottom w:val="single" w:color="CCCCCC" w:sz="1"/>
              <w:right w:val="single" w:color="CCCCCC" w:sz="1"/>
            </w:tcBorders>
            <w:shd w:fill="1F4E78" w:val="clear"/>
            <w:tcMar>
              <w:top w:type="dxa" w:w="100"/>
              <w:left w:type="dxa" w:w="120"/>
              <w:bottom w:type="dxa" w:w="100"/>
              <w:right w:type="dxa" w:w="120"/>
            </w:tcMar>
          </w:tcPr>
          <w:p>
            <w:pPr>
              <w:jc w:val="center"/>
            </w:pPr>
            <w:r>
              <w:rPr>
                <w:b/>
                <w:bCs/>
                <w:color w:val="FFFFFF"/>
                <w:sz w:val="22"/>
                <w:szCs w:val="22"/>
              </w:rPr>
              <w:t xml:space="preserve">Terrestre</w:t>
            </w:r>
          </w:p>
        </w:tc>
        <w:tc>
          <w:tcPr>
            <w:tcW w:type="dxa" w:w="3120"/>
            <w:tcBorders>
              <w:top w:val="single" w:color="CCCCCC" w:sz="1"/>
              <w:left w:val="single" w:color="CCCCCC" w:sz="1"/>
              <w:bottom w:val="single" w:color="CCCCCC" w:sz="1"/>
              <w:right w:val="single" w:color="CCCCCC" w:sz="1"/>
            </w:tcBorders>
            <w:shd w:fill="1F4E78" w:val="clear"/>
            <w:tcMar>
              <w:top w:type="dxa" w:w="100"/>
              <w:left w:type="dxa" w:w="120"/>
              <w:bottom w:type="dxa" w:w="100"/>
              <w:right w:type="dxa" w:w="120"/>
            </w:tcMar>
          </w:tcPr>
          <w:p>
            <w:pPr>
              <w:jc w:val="center"/>
            </w:pPr>
            <w:r>
              <w:rPr>
                <w:b/>
                <w:bCs/>
                <w:color w:val="FFFFFF"/>
                <w:sz w:val="22"/>
                <w:szCs w:val="22"/>
              </w:rPr>
              <w:t xml:space="preserve">Orbital LEO</w:t>
            </w:r>
          </w:p>
        </w:tc>
      </w:tr>
      <w:tr>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sz w:val="22"/>
                <w:szCs w:val="22"/>
              </w:rPr>
              <w:t xml:space="preserve">Coût total 10 ans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bCs/>
                <w:sz w:val="22"/>
                <w:szCs w:val="22"/>
              </w:rPr>
              <w:t xml:space="preserve">$75M</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bCs/>
                <w:color w:val="C00000"/>
                <w:sz w:val="22"/>
                <w:szCs w:val="22"/>
              </w:rPr>
              <w:t xml:space="preserve">$205M</w:t>
            </w:r>
          </w:p>
        </w:tc>
      </w:tr>
      <w:tr>
        <w:tc>
          <w:tcPr>
            <w:tcW w:type="dxa" w:w="312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r>
              <w:rPr>
                <w:b/>
                <w:bCs/>
                <w:sz w:val="22"/>
                <w:szCs w:val="22"/>
              </w:rPr>
              <w:t xml:space="preserve">RATIO COÛT/PERFORMANCE</w:t>
            </w:r>
          </w:p>
        </w:tc>
        <w:tc>
          <w:tcPr>
            <w:tcW w:type="dxa" w:w="312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pPr>
              <w:jc w:val="center"/>
            </w:pPr>
            <w:r>
              <w:rPr>
                <w:b/>
                <w:bCs/>
                <w:sz w:val="24"/>
                <w:szCs w:val="24"/>
              </w:rPr>
              <w:t xml:space="preserve">1.0×</w:t>
            </w:r>
          </w:p>
        </w:tc>
        <w:tc>
          <w:tcPr>
            <w:tcW w:type="dxa" w:w="312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pPr>
              <w:jc w:val="center"/>
            </w:pPr>
            <w:r>
              <w:rPr>
                <w:b/>
                <w:bCs/>
                <w:color w:val="C00000"/>
                <w:sz w:val="24"/>
                <w:szCs w:val="24"/>
              </w:rPr>
              <w:t xml:space="preserve">4.0×</w:t>
            </w:r>
          </w:p>
        </w:tc>
      </w:tr>
    </w:tbl>
    <w:p>
      <w:r>
        <w:br w:type="page"/>
      </w:r>
    </w:p>
    <w:p>
      <w:pPr>
        <w:pStyle w:val="Heading1"/>
      </w:pPr>
      <w:r>
        <w:t xml:space="preserve">1. ANALYSE FOND - CONTRAINTES PHYSIQUES</w:t>
      </w:r>
    </w:p>
    <w:p>
      <w:pPr>
        <w:spacing w:after="180"/>
      </w:pPr>
      <w:r>
        <w:rPr>
          <w:sz w:val="22"/>
          <w:szCs w:val="22"/>
        </w:rPr>
        <w:t xml:space="preserve">Les lois physiques imposent des contraintes absolues et non négociables qui déterminent la viabilité technique et économique des datacenters orbitaux.</w:t>
      </w:r>
    </w:p>
    <w:p>
      <w:pPr>
        <w:pStyle w:val="Heading2"/>
      </w:pPr>
      <w:r>
        <w:t xml:space="preserve">1.1 Bilan Masse Datacenter 1 MW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CCCCCC" w:sz="1"/>
              <w:left w:val="single" w:color="CCCCCC" w:sz="1"/>
              <w:bottom w:val="single" w:color="CCCCCC" w:sz="1"/>
              <w:right w:val="single" w:color="CCCCCC" w:sz="1"/>
            </w:tcBorders>
            <w:shd w:fill="2E75B5" w:val="clear"/>
            <w:tcMar>
              <w:top w:type="dxa" w:w="100"/>
              <w:left w:type="dxa" w:w="120"/>
              <w:bottom w:type="dxa" w:w="100"/>
              <w:right w:type="dxa" w:w="120"/>
            </w:tcMar>
          </w:tcPr>
          <w:p>
            <w:r>
              <w:rPr>
                <w:b/>
                <w:bCs/>
                <w:color w:val="FFFFFF"/>
                <w:sz w:val="22"/>
                <w:szCs w:val="22"/>
              </w:rPr>
              <w:t xml:space="preserve">Système</w:t>
            </w:r>
          </w:p>
        </w:tc>
        <w:tc>
          <w:tcPr>
            <w:tcW w:type="dxa" w:w="2340"/>
            <w:tcBorders>
              <w:top w:val="single" w:color="CCCCCC" w:sz="1"/>
              <w:left w:val="single" w:color="CCCCCC" w:sz="1"/>
              <w:bottom w:val="single" w:color="CCCCCC" w:sz="1"/>
              <w:right w:val="single" w:color="CCCCCC" w:sz="1"/>
            </w:tcBorders>
            <w:shd w:fill="2E75B5" w:val="clear"/>
            <w:tcMar>
              <w:top w:type="dxa" w:w="100"/>
              <w:left w:type="dxa" w:w="120"/>
              <w:bottom w:type="dxa" w:w="100"/>
              <w:right w:type="dxa" w:w="120"/>
            </w:tcMar>
          </w:tcPr>
          <w:p>
            <w:pPr>
              <w:jc w:val="center"/>
            </w:pPr>
            <w:r>
              <w:rPr>
                <w:b/>
                <w:bCs/>
                <w:color w:val="FFFFFF"/>
                <w:sz w:val="22"/>
                <w:szCs w:val="22"/>
              </w:rPr>
              <w:t xml:space="preserve">Masse (t)</w:t>
            </w:r>
          </w:p>
        </w:tc>
        <w:tc>
          <w:tcPr>
            <w:tcW w:type="dxa" w:w="2340"/>
            <w:tcBorders>
              <w:top w:val="single" w:color="CCCCCC" w:sz="1"/>
              <w:left w:val="single" w:color="CCCCCC" w:sz="1"/>
              <w:bottom w:val="single" w:color="CCCCCC" w:sz="1"/>
              <w:right w:val="single" w:color="CCCCCC" w:sz="1"/>
            </w:tcBorders>
            <w:shd w:fill="2E75B5" w:val="clear"/>
            <w:tcMar>
              <w:top w:type="dxa" w:w="100"/>
              <w:left w:type="dxa" w:w="120"/>
              <w:bottom w:type="dxa" w:w="100"/>
              <w:right w:type="dxa" w:w="120"/>
            </w:tcMar>
          </w:tcPr>
          <w:p>
            <w:pPr>
              <w:jc w:val="center"/>
            </w:pPr>
            <w:r>
              <w:rPr>
                <w:b/>
                <w:bCs/>
                <w:color w:val="FFFFFF"/>
                <w:sz w:val="22"/>
                <w:szCs w:val="22"/>
              </w:rPr>
              <w:t xml:space="preserve">% Total</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IT Equipment</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sz w:val="22"/>
                <w:szCs w:val="22"/>
              </w:rPr>
              <w:t xml:space="preserve">30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sz w:val="22"/>
                <w:szCs w:val="22"/>
              </w:rPr>
              <w:t xml:space="preserve">18%</w:t>
            </w:r>
          </w:p>
        </w:tc>
      </w:tr>
      <w:tr>
        <w:tc>
          <w:tcPr>
            <w:tcW w:type="dxa" w:w="468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r>
              <w:rPr>
                <w:b/>
                <w:bCs/>
                <w:sz w:val="22"/>
                <w:szCs w:val="22"/>
              </w:rPr>
              <w:t xml:space="preserve">Radiateurs thermiques</w:t>
            </w:r>
          </w:p>
        </w:tc>
        <w:tc>
          <w:tcPr>
            <w:tcW w:type="dxa" w:w="234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pPr>
              <w:jc w:val="right"/>
            </w:pPr>
            <w:r>
              <w:rPr>
                <w:b/>
                <w:bCs/>
                <w:sz w:val="22"/>
                <w:szCs w:val="22"/>
              </w:rPr>
              <w:t xml:space="preserve">43</w:t>
            </w:r>
          </w:p>
        </w:tc>
        <w:tc>
          <w:tcPr>
            <w:tcW w:type="dxa" w:w="234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pPr>
              <w:jc w:val="right"/>
            </w:pPr>
            <w:r>
              <w:rPr>
                <w:b/>
                <w:bCs/>
                <w:sz w:val="22"/>
                <w:szCs w:val="22"/>
              </w:rPr>
              <w:t xml:space="preserve">25%</w:t>
            </w:r>
          </w:p>
        </w:tc>
      </w:tr>
      <w:tr>
        <w:tc>
          <w:tcPr>
            <w:tcW w:type="dxa" w:w="4680"/>
            <w:tcBorders>
              <w:top w:val="single" w:color="CCCCCC" w:sz="1"/>
              <w:left w:val="single" w:color="CCCCCC" w:sz="1"/>
              <w:bottom w:val="single" w:color="CCCCCC" w:sz="1"/>
              <w:right w:val="single" w:color="CCCCCC" w:sz="1"/>
            </w:tcBorders>
            <w:shd w:fill="E2EFD9" w:val="clear"/>
            <w:tcMar>
              <w:top w:type="dxa" w:w="100"/>
              <w:left w:type="dxa" w:w="120"/>
              <w:bottom w:type="dxa" w:w="100"/>
              <w:right w:type="dxa" w:w="120"/>
            </w:tcMar>
          </w:tcPr>
          <w:p>
            <w:r>
              <w:rPr>
                <w:b/>
                <w:bCs/>
                <w:sz w:val="24"/>
                <w:szCs w:val="24"/>
              </w:rPr>
              <w:t xml:space="preserve">TOTAL ORBITAL</w:t>
            </w:r>
          </w:p>
        </w:tc>
        <w:tc>
          <w:tcPr>
            <w:tcW w:type="dxa" w:w="2340"/>
            <w:tcBorders>
              <w:top w:val="single" w:color="CCCCCC" w:sz="1"/>
              <w:left w:val="single" w:color="CCCCCC" w:sz="1"/>
              <w:bottom w:val="single" w:color="CCCCCC" w:sz="1"/>
              <w:right w:val="single" w:color="CCCCCC" w:sz="1"/>
            </w:tcBorders>
            <w:shd w:fill="E2EFD9" w:val="clear"/>
            <w:tcMar>
              <w:top w:type="dxa" w:w="100"/>
              <w:left w:type="dxa" w:w="120"/>
              <w:bottom w:type="dxa" w:w="100"/>
              <w:right w:type="dxa" w:w="120"/>
            </w:tcMar>
          </w:tcPr>
          <w:p>
            <w:pPr>
              <w:jc w:val="right"/>
            </w:pPr>
            <w:r>
              <w:rPr>
                <w:b/>
                <w:bCs/>
                <w:sz w:val="24"/>
                <w:szCs w:val="24"/>
              </w:rPr>
              <w:t xml:space="preserve">169</w:t>
            </w:r>
          </w:p>
        </w:tc>
        <w:tc>
          <w:tcPr>
            <w:tcW w:type="dxa" w:w="2340"/>
            <w:tcBorders>
              <w:top w:val="single" w:color="CCCCCC" w:sz="1"/>
              <w:left w:val="single" w:color="CCCCCC" w:sz="1"/>
              <w:bottom w:val="single" w:color="CCCCCC" w:sz="1"/>
              <w:right w:val="single" w:color="CCCCCC" w:sz="1"/>
            </w:tcBorders>
            <w:shd w:fill="E2EFD9" w:val="clear"/>
            <w:tcMar>
              <w:top w:type="dxa" w:w="100"/>
              <w:left w:type="dxa" w:w="120"/>
              <w:bottom w:type="dxa" w:w="100"/>
              <w:right w:type="dxa" w:w="120"/>
            </w:tcMar>
          </w:tcPr>
          <w:p>
            <w:pPr>
              <w:jc w:val="right"/>
            </w:pPr>
            <w:r>
              <w:rPr>
                <w:b/>
                <w:bCs/>
                <w:sz w:val="24"/>
                <w:szCs w:val="24"/>
              </w:rPr>
              <w:t xml:space="preserve">100%</w:t>
            </w:r>
          </w:p>
        </w:tc>
      </w:tr>
    </w:tbl>
    <w:p>
      <w:pPr>
        <w:spacing w:before="240"/>
      </w:pPr>
      <w:r>
        <w:rPr>
          <w:b/>
          <w:bCs/>
          <w:color w:val="C00000"/>
          <w:sz w:val="24"/>
          <w:szCs w:val="24"/>
        </w:rPr>
        <w:t xml:space="preserve">Ratio masse orbital/terrestre : 5.6×</w:t>
      </w:r>
    </w:p>
    <w:p>
      <w:pPr>
        <w:pStyle w:val="Heading2"/>
        <w:spacing w:before="360"/>
      </w:pPr>
      <w:r>
        <w:t xml:space="preserve">1.2 Lois Physiques Absolues</w:t>
      </w:r>
    </w:p>
    <w:p>
      <w:pPr>
        <w:pStyle w:val="Heading3"/>
      </w:pPr>
      <w:r>
        <w:t xml:space="preserve">A) Stefan-Boltzmann (Thermodynamique)</w:t>
      </w:r>
    </w:p>
    <w:p>
      <w:pPr>
        <w:spacing w:after="120"/>
      </w:pPr>
      <w:r>
        <w:rPr>
          <w:rFonts w:ascii="Courier New" w:cs="Courier New" w:eastAsia="Courier New" w:hAnsi="Courier New"/>
          <w:b/>
          <w:bCs/>
          <w:sz w:val="24"/>
          <w:szCs w:val="24"/>
        </w:rPr>
        <w:t xml:space="preserve">P = σ × A × ε × T⁴</w:t>
      </w:r>
    </w:p>
    <w:p>
      <w:pPr>
        <w:pStyle w:val="ListParagraph"/>
        <w:numPr>
          <w:ilvl w:val="0"/>
          <w:numId w:val="2"/>
        </w:numPr>
      </w:pPr>
      <w:r>
        <w:rPr>
          <w:sz w:val="22"/>
          <w:szCs w:val="22"/>
        </w:rPr>
        <w:t xml:space="preserve">Surface nécessaire : 24 m²/kW → 24,000 m² pour 1 MW</w:t>
      </w:r>
    </w:p>
    <w:p>
      <w:pPr>
        <w:pStyle w:val="ListParagraph"/>
        <w:numPr>
          <w:ilvl w:val="0"/>
          <w:numId w:val="2"/>
        </w:numPr>
      </w:pPr>
      <w:r>
        <w:rPr>
          <w:sz w:val="22"/>
          <w:szCs w:val="22"/>
        </w:rPr>
        <w:t xml:space="preserve">Masse radiateurs : 43 tonnes minimum (ISS = 51 kg/kW)</w:t>
      </w:r>
    </w:p>
    <w:p>
      <w:pPr>
        <w:spacing w:before="180" w:after="240"/>
      </w:pPr>
      <w:r>
        <w:rPr>
          <w:b/>
          <w:bCs/>
          <w:color w:val="C00000"/>
          <w:sz w:val="22"/>
          <w:szCs w:val="22"/>
        </w:rPr>
        <w:t xml:space="preserve">Conclusion : 43 tonnes non négociable par loi physique.</w:t>
      </w:r>
    </w:p>
    <w:p>
      <w:pPr>
        <w:pStyle w:val="Heading3"/>
        <w:spacing w:before="240"/>
      </w:pPr>
      <w:r>
        <w:t xml:space="preserve">B) Rayonnement (Physique Quantique)</w:t>
      </w:r>
    </w:p>
    <w:p>
      <w:pPr>
        <w:pStyle w:val="ListParagraph"/>
        <w:numPr>
          <w:ilvl w:val="0"/>
          <w:numId w:val="2"/>
        </w:numPr>
      </w:pPr>
      <w:r>
        <w:rPr>
          <w:sz w:val="22"/>
          <w:szCs w:val="22"/>
        </w:rPr>
        <w:t xml:space="preserve">LEO 500 km : TID = 10-20 krad/an sans blindage</w:t>
      </w:r>
    </w:p>
    <w:p>
      <w:pPr>
        <w:pStyle w:val="ListParagraph"/>
        <w:numPr>
          <w:ilvl w:val="0"/>
          <w:numId w:val="2"/>
        </w:numPr>
      </w:pPr>
      <w:r>
        <w:rPr>
          <w:sz w:val="22"/>
          <w:szCs w:val="22"/>
        </w:rPr>
        <w:t xml:space="preserve">GPU H100 (4nm) : sensibilité 3,900× supérieure vs RAD750 (250nm)</w:t>
      </w:r>
    </w:p>
    <w:p>
      <w:pPr>
        <w:pStyle w:val="ListParagraph"/>
        <w:numPr>
          <w:ilvl w:val="0"/>
          <w:numId w:val="2"/>
        </w:numPr>
      </w:pPr>
      <w:r>
        <w:rPr>
          <w:sz w:val="22"/>
          <w:szCs w:val="22"/>
        </w:rPr>
        <w:t xml:space="preserve">Durée vie avec blindage : 2-3 ans vs 5-10 ans terrestre</w:t>
      </w:r>
    </w:p>
    <w:p>
      <w:pPr>
        <w:spacing w:before="180" w:after="240"/>
      </w:pPr>
      <w:r>
        <w:rPr>
          <w:b/>
          <w:bCs/>
          <w:color w:val="C00000"/>
          <w:sz w:val="22"/>
          <w:szCs w:val="22"/>
        </w:rPr>
        <w:t xml:space="preserve">Conclusion : Remplacement hardware 3× plus fréquent.</w:t>
      </w:r>
    </w:p>
    <w:p>
      <w:pPr>
        <w:pStyle w:val="Heading3"/>
        <w:spacing w:before="240"/>
      </w:pPr>
      <w:r>
        <w:t xml:space="preserve">C) Gravitation (Tsiolkovsky)</w:t>
      </w:r>
    </w:p>
    <w:p>
      <w:pPr>
        <w:pStyle w:val="ListParagraph"/>
        <w:numPr>
          <w:ilvl w:val="0"/>
          <w:numId w:val="2"/>
        </w:numPr>
      </w:pPr>
      <w:r>
        <w:rPr>
          <w:sz w:val="22"/>
          <w:szCs w:val="22"/>
        </w:rPr>
        <w:t xml:space="preserve">Coût lancement 169t : $25M (Starship) à $237M (Falcon Heavy)</w:t>
      </w:r>
    </w:p>
    <w:p>
      <w:pPr>
        <w:pStyle w:val="ListParagraph"/>
        <w:numPr>
          <w:ilvl w:val="0"/>
          <w:numId w:val="2"/>
        </w:numPr>
      </w:pPr>
      <w:r>
        <w:rPr>
          <w:sz w:val="22"/>
          <w:szCs w:val="22"/>
        </w:rPr>
        <w:t xml:space="preserve">Transport terrestre : $0.10/kg vs $150-1,400/kg spatial</w:t>
      </w:r>
    </w:p>
    <w:p>
      <w:pPr>
        <w:spacing w:before="180"/>
      </w:pPr>
      <w:r>
        <w:rPr>
          <w:b/>
          <w:bCs/>
          <w:color w:val="C00000"/>
          <w:sz w:val="22"/>
          <w:szCs w:val="22"/>
        </w:rPr>
        <w:t xml:space="preserve">Conclusion : Pénalité gravitationnelle 840× sur transport.</w:t>
      </w:r>
    </w:p>
    <w:p>
      <w:r>
        <w:br w:type="page"/>
      </w:r>
    </w:p>
    <w:p>
      <w:pPr>
        <w:pStyle w:val="Heading1"/>
      </w:pPr>
      <w:r>
        <w:t xml:space="preserve">2. ANALYSE CUI BONO - QUI EN PROFITE ?</w:t>
      </w:r>
    </w:p>
    <w:p>
      <w:pPr>
        <w:pStyle w:val="Heading2"/>
      </w:pPr>
      <w:r>
        <w:t xml:space="preserve">2.1 Bénéficiaires</w:t>
      </w:r>
    </w:p>
    <w:p>
      <w:pPr>
        <w:pStyle w:val="ListParagraph"/>
        <w:numPr>
          <w:ilvl w:val="0"/>
          <w:numId w:val="2"/>
        </w:numPr>
      </w:pPr>
      <w:r>
        <w:rPr>
          <w:sz w:val="22"/>
          <w:szCs w:val="22"/>
        </w:rPr>
        <w:t xml:space="preserve">Lanceurs (SpaceX) : $25M par datacenter, seul vrai gagnant</w:t>
      </w:r>
    </w:p>
    <w:p>
      <w:pPr>
        <w:pStyle w:val="ListParagraph"/>
        <w:numPr>
          <w:ilvl w:val="0"/>
          <w:numId w:val="2"/>
        </w:numPr>
      </w:pPr>
      <w:r>
        <w:rPr>
          <w:sz w:val="22"/>
          <w:szCs w:val="22"/>
        </w:rPr>
        <w:t xml:space="preserve">Contracteurs spatiaux : $500M-1B R&amp;D même si projet échoue</w:t>
      </w:r>
    </w:p>
    <w:p>
      <w:pPr>
        <w:pStyle w:val="ListParagraph"/>
        <w:numPr>
          <w:ilvl w:val="0"/>
          <w:numId w:val="2"/>
        </w:numPr>
      </w:pPr>
      <w:r>
        <w:rPr>
          <w:sz w:val="22"/>
          <w:szCs w:val="22"/>
        </w:rPr>
        <w:t xml:space="preserve">Tech CEOs : Narrative innovation + valorisation boursière temporaire</w:t>
      </w:r>
    </w:p>
    <w:p>
      <w:pPr>
        <w:pStyle w:val="Heading2"/>
        <w:spacing w:before="240"/>
      </w:pPr>
      <w:r>
        <w:t xml:space="preserve">2.2 Perdants</w:t>
      </w:r>
    </w:p>
    <w:p>
      <w:pPr>
        <w:pStyle w:val="ListParagraph"/>
        <w:numPr>
          <w:ilvl w:val="0"/>
          <w:numId w:val="2"/>
        </w:numPr>
      </w:pPr>
      <w:r>
        <w:rPr>
          <w:sz w:val="22"/>
          <w:szCs w:val="22"/>
        </w:rPr>
        <w:t xml:space="preserve">Investisseurs : -$130M par projet vs terrestre, ROI négatif</w:t>
      </w:r>
    </w:p>
    <w:p>
      <w:pPr>
        <w:pStyle w:val="ListParagraph"/>
        <w:numPr>
          <w:ilvl w:val="0"/>
          <w:numId w:val="2"/>
        </w:numPr>
      </w:pPr>
      <w:r>
        <w:rPr>
          <w:sz w:val="22"/>
          <w:szCs w:val="22"/>
        </w:rPr>
        <w:t xml:space="preserve">Contribuables : R&amp;D publique gaspillée sans retour sociétal</w:t>
      </w:r>
    </w:p>
    <w:p>
      <w:pPr>
        <w:pStyle w:val="ListParagraph"/>
        <w:numPr>
          <w:ilvl w:val="0"/>
          <w:numId w:val="2"/>
        </w:numPr>
      </w:pPr>
      <w:r>
        <w:rPr>
          <w:sz w:val="22"/>
          <w:szCs w:val="22"/>
        </w:rPr>
        <w:t xml:space="preserve">Environnement : Émissions lancement + débris spatiaux</w:t>
      </w:r>
    </w:p>
    <w:p>
      <w:pPr>
        <w:pStyle w:val="ListParagraph"/>
        <w:numPr>
          <w:ilvl w:val="0"/>
          <w:numId w:val="2"/>
        </w:numPr>
      </w:pPr>
      <w:r>
        <w:rPr>
          <w:sz w:val="22"/>
          <w:szCs w:val="22"/>
        </w:rPr>
        <w:t xml:space="preserve">Utilisateurs IA : Coûts supérieurs, disponibilité réduite</w:t>
      </w:r>
    </w:p>
    <w:p>
      <w:pPr>
        <w:spacing w:before="360" w:after="240"/>
      </w:pPr>
      <w:r>
        <w:rPr>
          <w:b/>
          <w:bCs/>
          <w:i/>
          <w:iCs/>
          <w:color w:val="C00000"/>
          <w:sz w:val="24"/>
          <w:szCs w:val="24"/>
        </w:rPr>
        <w:t xml:space="preserve">Le projet profite à ceux qui le vendent, pas à ceux qui l'utilisent.</w:t>
      </w:r>
    </w:p>
    <w:p>
      <w:r>
        <w:br w:type="page"/>
      </w:r>
    </w:p>
    <w:p>
      <w:pPr>
        <w:pStyle w:val="Heading1"/>
      </w:pPr>
      <w:r>
        <w:t xml:space="preserve">3. CONCLUSION DÉFINITIVE</w:t>
      </w:r>
    </w:p>
    <w:p>
      <w:pPr>
        <w:spacing w:after="240"/>
      </w:pPr>
      <w:r>
        <w:rPr>
          <w:b/>
          <w:bCs/>
          <w:sz w:val="24"/>
          <w:szCs w:val="24"/>
        </w:rPr>
        <w:t xml:space="preserve">Les datacenters en orbite basse sont physiquement réalisables mais économiquement non viables avec les technologies actuelles et prévisibles jusqu'en 2040-2045.</w:t>
      </w:r>
    </w:p>
    <w:p>
      <w:pPr>
        <w:pStyle w:val="Heading2"/>
      </w:pPr>
      <w:r>
        <w:t xml:space="preserve">Trois lois physiques absolues empêchent la viabilité :</w:t>
      </w:r>
    </w:p>
    <w:p>
      <w:pPr>
        <w:pStyle w:val="ListParagraph"/>
        <w:numPr>
          <w:ilvl w:val="0"/>
          <w:numId w:val="2"/>
        </w:numPr>
      </w:pPr>
      <w:r>
        <w:rPr>
          <w:sz w:val="22"/>
          <w:szCs w:val="22"/>
        </w:rPr>
        <w:t xml:space="preserve">Stefan-Boltzmann : 43t radiateurs = 25% masse système</w:t>
      </w:r>
    </w:p>
    <w:p>
      <w:pPr>
        <w:pStyle w:val="ListParagraph"/>
        <w:numPr>
          <w:ilvl w:val="0"/>
          <w:numId w:val="2"/>
        </w:numPr>
      </w:pPr>
      <w:r>
        <w:rPr>
          <w:sz w:val="22"/>
          <w:szCs w:val="22"/>
        </w:rPr>
        <w:t xml:space="preserve">Rayonnement : durée vie GPU réduite 3×</w:t>
      </w:r>
    </w:p>
    <w:p>
      <w:pPr>
        <w:pStyle w:val="ListParagraph"/>
        <w:numPr>
          <w:ilvl w:val="0"/>
          <w:numId w:val="2"/>
        </w:numPr>
      </w:pPr>
      <w:r>
        <w:rPr>
          <w:sz w:val="22"/>
          <w:szCs w:val="22"/>
        </w:rPr>
        <w:t xml:space="preserve">Gravitation : coût lancement 840× vs terrestre</w:t>
      </w:r>
    </w:p>
    <w:p>
      <w:pPr>
        <w:spacing w:before="360" w:after="240"/>
      </w:pPr>
      <w:r>
        <w:rPr>
          <w:b/>
          <w:bCs/>
          <w:color w:val="C00000"/>
          <w:sz w:val="28"/>
          <w:szCs w:val="28"/>
        </w:rPr>
        <w:t xml:space="preserve">Ratio coût/performance : 4:1 en défaveur de l'orbital</w:t>
      </w:r>
    </w:p>
    <w:p>
      <w:pPr>
        <w:spacing w:before="180" w:after="360"/>
      </w:pPr>
      <w:r>
        <w:rPr>
          <w:b/>
          <w:bCs/>
          <w:color w:val="C00000"/>
          <w:sz w:val="24"/>
          <w:szCs w:val="24"/>
        </w:rPr>
        <w:t xml:space="preserve">Horizon réaliste : 2040-2045 minimum, PAS 5-10 ans.</w:t>
      </w:r>
    </w:p>
    <w:p>
      <w:pPr>
        <w:spacing w:before="180" w:after="480"/>
      </w:pPr>
      <w:r>
        <w:rPr>
          <w:b/>
          <w:bCs/>
          <w:i/>
          <w:iCs/>
          <w:color w:val="1F4E78"/>
          <w:sz w:val="28"/>
          <w:szCs w:val="28"/>
        </w:rPr>
        <w:t xml:space="preserve">Le véritable « moonshot » n'est pas dans l'espace, mais dans l'optimisation des algorithmes.</w:t>
      </w:r>
    </w:p>
    <w:p>
      <w:pPr>
        <w:spacing w:before="240" w:after="480"/>
      </w:pPr>
      <w:r>
        <w:rPr>
          <w:b/>
          <w:bCs/>
          <w:i/>
          <w:iCs/>
          <w:color w:val="1F4E78"/>
          <w:sz w:val="28"/>
          <w:szCs w:val="28"/>
        </w:rPr>
        <w:t xml:space="preserve">La physique a parlé. Le reste n'est que marketing.</w:t>
      </w:r>
    </w:p>
    <w:p>
      <w:pPr>
        <w:spacing w:before="720"/>
      </w:pPr>
      <w:r>
        <w:rPr>
          <w:sz w:val="22"/>
          <w:szCs w:val="22"/>
        </w:rPr>
        <w:t xml:space="preserve">___________________________</w:t>
      </w:r>
    </w:p>
    <w:p>
      <w:pPr>
        <w:spacing w:before="120"/>
      </w:pPr>
      <w:r>
        <w:rPr>
          <w:b/>
          <w:bCs/>
          <w:sz w:val="22"/>
          <w:szCs w:val="22"/>
        </w:rPr>
        <w:t xml:space="preserve">Laurent Duval, CEO</w:t>
      </w:r>
    </w:p>
    <w:p>
      <w:r>
        <w:rPr>
          <w:sz w:val="22"/>
          <w:szCs w:val="22"/>
        </w:rPr>
        <w:t xml:space="preserve">ADS-B NETWORK SAS</w:t>
      </w:r>
    </w:p>
    <w:p>
      <w:r>
        <w:rPr>
          <w:sz w:val="22"/>
          <w:szCs w:val="22"/>
        </w:rPr>
        <w:t xml:space="preserve">Rennes, Bretagne, France</w:t>
      </w:r>
    </w:p>
    <w:p>
      <w:pPr>
        <w:spacing w:before="120"/>
      </w:pPr>
      <w:r>
        <w:rPr>
          <w:i/>
          <w:iCs/>
          <w:sz w:val="22"/>
          <w:szCs w:val="22"/>
        </w:rPr>
        <w:t xml:space="preserve">Janvier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Arial" w:cs="Arial" w:eastAsia="Arial" w:hAnsi="Arial"/>
      <w:b/>
      <w:bCs/>
      <w:color w:val="1F4E78"/>
      <w:sz w:val="32"/>
      <w:szCs w:val="32"/>
    </w:rPr>
  </w:style>
  <w:style w:type="paragraph" w:styleId="Heading2">
    <w:name w:val="Heading 2"/>
    <w:basedOn w:val="Normal"/>
    <w:next w:val="Normal"/>
    <w:qFormat/>
    <w:pPr>
      <w:spacing w:before="240" w:after="180"/>
      <w:outlineLvl w:val="1"/>
    </w:pPr>
    <w:rPr>
      <w:rFonts w:ascii="Arial" w:cs="Arial" w:eastAsia="Arial" w:hAnsi="Arial"/>
      <w:b/>
      <w:bCs/>
      <w:color w:val="2E75B5"/>
      <w:sz w:val="28"/>
      <w:szCs w:val="28"/>
    </w:rPr>
  </w:style>
  <w:style w:type="paragraph" w:styleId="Heading3">
    <w:name w:val="Heading 3"/>
    <w:basedOn w:val="Normal"/>
    <w:next w:val="Normal"/>
    <w:qFormat/>
    <w:pPr>
      <w:spacing w:before="180" w:after="120"/>
      <w:outlineLvl w:val="2"/>
    </w:pPr>
    <w:rPr>
      <w:rFonts w:ascii="Arial" w:cs="Arial" w:eastAsia="Arial" w:hAnsi="Arial"/>
      <w:b/>
      <w:bCs/>
      <w:color w:val="5B9BD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2026-01-13T12:42:04.219Z</dcterms:created>
  <dcterms:modified xsi:type="dcterms:W3CDTF">2026-01-13T12:42:04.221Z</dcterms:modified>
</cp:coreProperties>
</file>

<file path=docProps/custom.xml><?xml version="1.0" encoding="utf-8"?>
<Properties xmlns="http://schemas.openxmlformats.org/officeDocument/2006/custom-properties" xmlns:vt="http://schemas.openxmlformats.org/officeDocument/2006/docPropsVTypes"/>
</file>